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rPr>
          <w:rFonts w:ascii="方正小标宋简体" w:hAnsi="方正小标宋简体" w:eastAsia="方正小标宋简体" w:cs="方正小标宋简体"/>
          <w:spacing w:val="0"/>
        </w:rPr>
      </w:pPr>
      <w:r>
        <w:rPr>
          <w:rFonts w:hint="eastAsia" w:ascii="方正小标宋简体" w:hAnsi="方正小标宋简体" w:eastAsia="方正小标宋简体" w:cs="方正小标宋简体"/>
          <w:spacing w:val="0"/>
        </w:rPr>
        <w:t>晋江市市场监督管理局</w:t>
      </w:r>
    </w:p>
    <w:p>
      <w:pPr>
        <w:pStyle w:val="2"/>
        <w:rPr>
          <w:rFonts w:ascii="方正小标宋简体" w:hAnsi="方正小标宋简体" w:eastAsia="方正小标宋简体" w:cs="方正小标宋简体"/>
          <w:spacing w:val="0"/>
        </w:rPr>
      </w:pPr>
      <w:r>
        <w:rPr>
          <w:rFonts w:hint="eastAsia" w:ascii="方正小标宋简体" w:hAnsi="方正小标宋简体" w:eastAsia="方正小标宋简体" w:cs="方正小标宋简体"/>
          <w:spacing w:val="0"/>
        </w:rPr>
        <w:t>行政处罚决定书</w:t>
      </w:r>
    </w:p>
    <w:p>
      <w:pPr>
        <w:tabs>
          <w:tab w:val="left" w:pos="2725"/>
        </w:tabs>
        <w:spacing w:beforeLines="50" w:afterLines="50" w:line="560" w:lineRule="exact"/>
        <w:jc w:val="center"/>
        <w:rPr>
          <w:rFonts w:ascii="仿宋" w:hAnsi="仿宋" w:eastAsia="仿宋" w:cs="仿宋"/>
          <w:sz w:val="32"/>
          <w:szCs w:val="32"/>
        </w:rPr>
      </w:pPr>
      <w:r>
        <w:rPr>
          <w:rFonts w:hint="eastAsia" w:ascii="仿宋" w:hAnsi="仿宋" w:eastAsia="仿宋" w:cs="仿宋"/>
          <w:sz w:val="32"/>
          <w:szCs w:val="32"/>
        </w:rPr>
        <w:t>晋市监处罚〔2024〕19-119号</w:t>
      </w:r>
    </w:p>
    <w:p>
      <w:pPr>
        <w:spacing w:line="340" w:lineRule="exact"/>
        <w:rPr>
          <w:rFonts w:ascii="仿宋" w:hAnsi="仿宋" w:eastAsia="仿宋" w:cs="仿宋"/>
          <w:sz w:val="32"/>
          <w:szCs w:val="32"/>
          <w:u w:val="single"/>
        </w:rPr>
      </w:pPr>
      <w:r>
        <w:rPr>
          <w:rFonts w:hint="eastAsia" w:ascii="仿宋" w:hAnsi="仿宋" w:eastAsia="仿宋" w:cs="仿宋"/>
          <w:sz w:val="32"/>
          <w:szCs w:val="32"/>
        </w:rPr>
        <w:t>当事人：</w:t>
      </w:r>
      <w:r>
        <w:rPr>
          <w:rFonts w:hint="eastAsia" w:ascii="仿宋" w:hAnsi="仿宋" w:eastAsia="仿宋" w:cs="仿宋"/>
          <w:sz w:val="32"/>
          <w:szCs w:val="32"/>
          <w:u w:val="single"/>
        </w:rPr>
        <w:t>泉州市东昌冷冻食品有限公司</w:t>
      </w:r>
    </w:p>
    <w:p>
      <w:pPr>
        <w:spacing w:line="340" w:lineRule="exact"/>
        <w:rPr>
          <w:rFonts w:ascii="仿宋" w:hAnsi="仿宋" w:eastAsia="仿宋" w:cs="仿宋"/>
          <w:sz w:val="32"/>
          <w:szCs w:val="32"/>
        </w:rPr>
      </w:pPr>
      <w:r>
        <w:rPr>
          <w:rFonts w:hint="eastAsia" w:ascii="仿宋" w:hAnsi="仿宋" w:eastAsia="仿宋" w:cs="仿宋"/>
          <w:sz w:val="32"/>
          <w:szCs w:val="32"/>
        </w:rPr>
        <w:t>主体资格证照名称：</w:t>
      </w:r>
      <w:r>
        <w:rPr>
          <w:rFonts w:hint="eastAsia" w:ascii="仿宋" w:hAnsi="仿宋" w:eastAsia="仿宋" w:cs="仿宋"/>
          <w:sz w:val="32"/>
          <w:szCs w:val="32"/>
          <w:u w:val="single"/>
        </w:rPr>
        <w:t>营业执照</w:t>
      </w:r>
      <w:r>
        <w:rPr>
          <w:rFonts w:hint="eastAsia" w:ascii="仿宋" w:hAnsi="仿宋" w:eastAsia="仿宋" w:cs="仿宋"/>
          <w:sz w:val="32"/>
          <w:szCs w:val="32"/>
        </w:rPr>
        <w:t xml:space="preserve"> </w:t>
      </w:r>
    </w:p>
    <w:p>
      <w:pPr>
        <w:spacing w:line="340" w:lineRule="exact"/>
        <w:rPr>
          <w:rFonts w:ascii="仿宋" w:hAnsi="仿宋" w:eastAsia="仿宋" w:cs="仿宋"/>
          <w:sz w:val="32"/>
          <w:szCs w:val="32"/>
          <w:u w:val="single"/>
        </w:rPr>
      </w:pPr>
      <w:r>
        <w:rPr>
          <w:rFonts w:hint="eastAsia" w:ascii="仿宋" w:hAnsi="仿宋" w:eastAsia="仿宋" w:cs="仿宋"/>
          <w:sz w:val="32"/>
          <w:szCs w:val="32"/>
        </w:rPr>
        <w:t>统一社会信用代码：</w:t>
      </w:r>
      <w:r>
        <w:rPr>
          <w:rFonts w:hint="eastAsia" w:ascii="仿宋" w:hAnsi="仿宋" w:eastAsia="仿宋" w:cs="仿宋"/>
          <w:sz w:val="32"/>
          <w:szCs w:val="32"/>
          <w:u w:val="single"/>
        </w:rPr>
        <w:t xml:space="preserve">91350582MA2Y2N2912 </w:t>
      </w:r>
    </w:p>
    <w:p>
      <w:pPr>
        <w:spacing w:line="340" w:lineRule="exact"/>
        <w:rPr>
          <w:rFonts w:hint="eastAsia" w:ascii="仿宋" w:hAnsi="仿宋" w:eastAsia="仿宋" w:cs="仿宋"/>
          <w:sz w:val="32"/>
          <w:szCs w:val="32"/>
          <w:u w:val="single"/>
          <w:lang w:val="en-US" w:eastAsia="zh-CN"/>
        </w:rPr>
      </w:pPr>
      <w:r>
        <w:rPr>
          <w:rFonts w:hint="eastAsia" w:ascii="仿宋" w:hAnsi="仿宋" w:eastAsia="仿宋" w:cs="仿宋"/>
          <w:sz w:val="32"/>
          <w:szCs w:val="32"/>
        </w:rPr>
        <w:t>住所（住址）：</w:t>
      </w:r>
      <w:r>
        <w:rPr>
          <w:rFonts w:hint="eastAsia" w:ascii="仿宋" w:hAnsi="仿宋" w:eastAsia="仿宋" w:cs="仿宋"/>
          <w:sz w:val="32"/>
          <w:szCs w:val="32"/>
          <w:u w:val="single"/>
        </w:rPr>
        <w:t>福建省泉州市晋江市陈埭镇涵埭村康龙东</w:t>
      </w:r>
      <w:r>
        <w:rPr>
          <w:rFonts w:hint="eastAsia" w:ascii="仿宋" w:hAnsi="仿宋" w:eastAsia="仿宋" w:cs="仿宋"/>
          <w:sz w:val="32"/>
          <w:szCs w:val="32"/>
          <w:u w:val="single"/>
          <w:lang w:eastAsia="zh-CN"/>
        </w:rPr>
        <w:t>路</w:t>
      </w:r>
      <w:bookmarkStart w:id="0" w:name="_GoBack"/>
      <w:bookmarkEnd w:id="0"/>
    </w:p>
    <w:p>
      <w:pPr>
        <w:spacing w:line="340" w:lineRule="exact"/>
        <w:rPr>
          <w:rFonts w:ascii="仿宋" w:hAnsi="仿宋" w:eastAsia="仿宋" w:cs="仿宋"/>
          <w:sz w:val="32"/>
          <w:szCs w:val="32"/>
          <w:u w:val="single"/>
        </w:rPr>
      </w:pPr>
      <w:r>
        <w:rPr>
          <w:rFonts w:hint="eastAsia" w:ascii="仿宋" w:hAnsi="仿宋" w:eastAsia="仿宋" w:cs="仿宋"/>
          <w:sz w:val="32"/>
          <w:szCs w:val="32"/>
        </w:rPr>
        <w:t>法定代表人（负责人、经营者）：</w:t>
      </w:r>
      <w:r>
        <w:rPr>
          <w:rFonts w:hint="eastAsia" w:ascii="仿宋" w:hAnsi="仿宋" w:eastAsia="仿宋" w:cs="仿宋"/>
          <w:sz w:val="32"/>
          <w:szCs w:val="32"/>
          <w:u w:val="single"/>
        </w:rPr>
        <w:t>伊金华</w:t>
      </w:r>
    </w:p>
    <w:p>
      <w:pPr>
        <w:spacing w:line="340" w:lineRule="exact"/>
        <w:ind w:firstLine="640" w:firstLineChars="200"/>
        <w:rPr>
          <w:rFonts w:ascii="仿宋_GB2312" w:hAnsi="宋体" w:eastAsia="仿宋_GB2312"/>
          <w:sz w:val="28"/>
        </w:rPr>
      </w:pPr>
      <w:r>
        <w:rPr>
          <w:rFonts w:hint="eastAsia" w:ascii="仿宋" w:hAnsi="仿宋" w:eastAsia="仿宋" w:cs="仿宋"/>
          <w:sz w:val="32"/>
          <w:szCs w:val="32"/>
          <w:u w:val="single"/>
        </w:rPr>
        <w:t>本局调查晋江市陈埭翔旺优生鲜超市销售标签不符合食品安全标准的食品一案中，发现当事人为晋江市陈埭翔旺优生鲜超市涉案食品的供货商，2024年8月21日，本局执法人员依法对当事人位于福建省泉州市晋江市陈埭镇涵埭村康龙东路的经营场所进行检查，现场查无涉案的“鑫东昌”优选羔羊肉片。当事人承认涉案“鑫东昌”优选羔羊肉片（食品标签未标注即食或非即食）是其于2024年2月3日销售给晋江市陈埭翔旺优生鲜超市的（10盒净含量150g生产日期为2023年12月10日、10盒净含量280g生产日期为2024年1月1日、10盒净含量380g生产日期为2023年12月10日）。当事人现场提供了出货票据及委托生产合同、被委托方河间市阿利斋清真食品有限公司的营业执照复印件、生产经营许可证复印件。当事人涉嫌生产经营标签不符合食品安全标准的食品，违反了《中华人民共和国食品安全法》第六十七条第一款第九项的规定，即报领导于2024年9月2日予以立案调查。现场未采取强制措施。</w:t>
      </w:r>
    </w:p>
    <w:p>
      <w:pPr>
        <w:spacing w:line="340" w:lineRule="exact"/>
        <w:ind w:firstLine="640" w:firstLineChars="200"/>
        <w:rPr>
          <w:rFonts w:ascii="仿宋_GB2312" w:hAnsi="宋体" w:eastAsia="仿宋_GB2312"/>
          <w:sz w:val="28"/>
        </w:rPr>
      </w:pPr>
      <w:r>
        <w:rPr>
          <w:rFonts w:hint="eastAsia" w:ascii="仿宋" w:hAnsi="仿宋" w:eastAsia="仿宋" w:cs="仿宋"/>
          <w:sz w:val="32"/>
          <w:szCs w:val="32"/>
        </w:rPr>
        <w:t>经查，</w:t>
      </w:r>
      <w:r>
        <w:rPr>
          <w:rFonts w:hint="eastAsia" w:ascii="仿宋" w:hAnsi="仿宋" w:eastAsia="仿宋" w:cs="仿宋"/>
          <w:sz w:val="32"/>
          <w:szCs w:val="32"/>
          <w:u w:val="single"/>
        </w:rPr>
        <w:t>当事人于2023年11月14日同河间市阿利斋清真食品有限公司签订委托加工合同，合同约定生产产品范畴：肥羊片、肥牛片、烧烤肉串，并由被委托方全面负责加工产品所需的原辅材料和包装材料的采购，双方未约定具体数量及价格。依当事人需求，河间市阿利斋清真食品有限公司于2024年1月10日向当事人送达364盒“鑫东昌”优选羔羊肉片（144盒净含量150g生产日期为2023年12月10日、100盒净含量280g生产日期为2024年1月1日、120盒净含量380g生产日期为2023年12月10日），上述364盒羔羊肉片均未标注即食或非即食。该364盒“鑫东昌”优选羔羊肉片为当事人第一次委托河间市阿利斋清真食品有限公司生产的羊肉片，当事人收到产品后未对该产品进行第三方型式检验送检便立即投入市场销售。</w:t>
      </w:r>
    </w:p>
    <w:p>
      <w:pPr>
        <w:spacing w:line="340" w:lineRule="exact"/>
        <w:ind w:firstLine="640" w:firstLineChars="200"/>
        <w:rPr>
          <w:rFonts w:ascii="仿宋" w:hAnsi="仿宋" w:eastAsia="仿宋" w:cs="仿宋"/>
          <w:sz w:val="32"/>
          <w:szCs w:val="32"/>
          <w:u w:val="single"/>
        </w:rPr>
      </w:pPr>
      <w:r>
        <w:rPr>
          <w:rFonts w:hint="eastAsia" w:ascii="仿宋" w:hAnsi="仿宋" w:eastAsia="仿宋" w:cs="仿宋"/>
          <w:sz w:val="32"/>
          <w:szCs w:val="32"/>
        </w:rPr>
        <w:t>另查明</w:t>
      </w:r>
      <w:r>
        <w:rPr>
          <w:rFonts w:hint="eastAsia" w:ascii="仿宋_GB2312" w:hAnsi="宋体" w:eastAsia="仿宋_GB2312"/>
          <w:sz w:val="28"/>
        </w:rPr>
        <w:t>，</w:t>
      </w:r>
      <w:r>
        <w:rPr>
          <w:rFonts w:hint="eastAsia" w:ascii="仿宋" w:hAnsi="仿宋" w:eastAsia="仿宋" w:cs="仿宋"/>
          <w:sz w:val="32"/>
          <w:szCs w:val="32"/>
          <w:u w:val="single"/>
        </w:rPr>
        <w:t>当事人于2024年2月3日销售给晋江市陈埭翔旺优生鲜超市30盒“鑫东昌”优选羔羊肉片（10盒净含量150g生产日期为2023年12月10日、10盒净含量280g生产日期为2024年1月1日、10盒净含量380g生产日期为2023年12月10日），剩余334盒均于2024年8月份前陆续零售出去，现已全部售完。因“鑫东昌”优选羔羊肉片为当事人新产品，为打开市场，批发价与零售价一致，净含量150g的每盒进价5元，销售价格每盒12元；净含量280g的每盒进价9.3元，销售价格每盒25元；净含量380g的每盒进价12.5元，销售价格每盒32元。上述364盒“鑫东昌”优选羔羊肉片已全部销售，货值金额合计8068元，获利4918元。据此认定，违法所得8068元。</w:t>
      </w:r>
    </w:p>
    <w:p>
      <w:pPr>
        <w:spacing w:line="340" w:lineRule="exact"/>
        <w:ind w:firstLine="640" w:firstLineChars="200"/>
        <w:rPr>
          <w:rFonts w:ascii="仿宋" w:hAnsi="仿宋" w:eastAsia="仿宋" w:cs="仿宋"/>
          <w:sz w:val="32"/>
          <w:szCs w:val="32"/>
          <w:u w:val="single"/>
        </w:rPr>
      </w:pPr>
      <w:r>
        <w:rPr>
          <w:rFonts w:hint="eastAsia" w:ascii="仿宋" w:hAnsi="仿宋" w:eastAsia="仿宋" w:cs="仿宋"/>
          <w:sz w:val="32"/>
          <w:szCs w:val="32"/>
        </w:rPr>
        <w:t>上述事实，主要有以下证据证明：</w:t>
      </w:r>
      <w:r>
        <w:rPr>
          <w:rFonts w:hint="eastAsia" w:ascii="仿宋" w:hAnsi="仿宋" w:eastAsia="仿宋" w:cs="仿宋"/>
          <w:sz w:val="32"/>
          <w:szCs w:val="32"/>
          <w:u w:val="single"/>
        </w:rPr>
        <w:t xml:space="preserve">现场检查笔录、询问笔录、现场照片、当事人营业执照、身份证复印件、仅销售预包装食品经营者备案信息表复印件、生产厂商资质、委托加工合同复印件等。                         </w:t>
      </w:r>
    </w:p>
    <w:p>
      <w:pPr>
        <w:spacing w:line="340" w:lineRule="exact"/>
        <w:ind w:firstLine="640" w:firstLineChars="200"/>
        <w:rPr>
          <w:rFonts w:ascii="仿宋" w:hAnsi="仿宋" w:eastAsia="仿宋" w:cs="仿宋"/>
          <w:sz w:val="32"/>
          <w:szCs w:val="32"/>
          <w:u w:val="single"/>
        </w:rPr>
      </w:pPr>
      <w:r>
        <w:rPr>
          <w:rFonts w:hint="eastAsia" w:ascii="仿宋" w:hAnsi="仿宋" w:eastAsia="仿宋" w:cs="仿宋"/>
          <w:sz w:val="32"/>
          <w:szCs w:val="32"/>
          <w:u w:val="single"/>
        </w:rPr>
        <w:t>2024</w:t>
      </w:r>
      <w:r>
        <w:rPr>
          <w:rFonts w:ascii="仿宋" w:hAnsi="仿宋" w:eastAsia="仿宋" w:cs="仿宋"/>
          <w:sz w:val="32"/>
          <w:szCs w:val="32"/>
          <w:u w:val="single"/>
        </w:rPr>
        <w:t>年</w:t>
      </w:r>
      <w:r>
        <w:rPr>
          <w:rFonts w:hint="eastAsia" w:ascii="仿宋" w:hAnsi="仿宋" w:eastAsia="仿宋" w:cs="仿宋"/>
          <w:sz w:val="32"/>
          <w:szCs w:val="32"/>
          <w:u w:val="single"/>
        </w:rPr>
        <w:t>10</w:t>
      </w:r>
      <w:r>
        <w:rPr>
          <w:rFonts w:ascii="仿宋" w:hAnsi="仿宋" w:eastAsia="仿宋" w:cs="仿宋"/>
          <w:sz w:val="32"/>
          <w:szCs w:val="32"/>
          <w:u w:val="single"/>
        </w:rPr>
        <w:t>月</w:t>
      </w:r>
      <w:r>
        <w:rPr>
          <w:rFonts w:hint="eastAsia" w:ascii="仿宋" w:hAnsi="仿宋" w:eastAsia="仿宋" w:cs="仿宋"/>
          <w:sz w:val="32"/>
          <w:szCs w:val="32"/>
          <w:u w:val="single"/>
        </w:rPr>
        <w:t>10</w:t>
      </w:r>
      <w:r>
        <w:rPr>
          <w:rFonts w:ascii="仿宋" w:hAnsi="仿宋" w:eastAsia="仿宋" w:cs="仿宋"/>
          <w:sz w:val="32"/>
          <w:szCs w:val="32"/>
          <w:u w:val="single"/>
        </w:rPr>
        <w:t>日，</w:t>
      </w:r>
      <w:r>
        <w:rPr>
          <w:rFonts w:hint="eastAsia" w:ascii="仿宋" w:hAnsi="仿宋" w:eastAsia="仿宋" w:cs="仿宋"/>
          <w:sz w:val="32"/>
          <w:szCs w:val="32"/>
          <w:u w:val="single"/>
        </w:rPr>
        <w:t>本局</w:t>
      </w:r>
      <w:r>
        <w:rPr>
          <w:rFonts w:ascii="仿宋" w:hAnsi="仿宋" w:eastAsia="仿宋" w:cs="仿宋"/>
          <w:sz w:val="32"/>
          <w:szCs w:val="32"/>
          <w:u w:val="single"/>
        </w:rPr>
        <w:t>向当事人送达</w:t>
      </w:r>
      <w:r>
        <w:rPr>
          <w:rFonts w:hint="eastAsia" w:ascii="仿宋" w:hAnsi="仿宋" w:eastAsia="仿宋" w:cs="仿宋"/>
          <w:sz w:val="32"/>
          <w:szCs w:val="32"/>
          <w:u w:val="single"/>
        </w:rPr>
        <w:t xml:space="preserve">了《行政处罚告知书》(晋市监罚告〔2024〕19-154号) ，当事人未在法定期限内未提出陈述申辩。         </w:t>
      </w:r>
    </w:p>
    <w:p>
      <w:pPr>
        <w:spacing w:line="340" w:lineRule="exact"/>
        <w:ind w:firstLine="640" w:firstLineChars="200"/>
        <w:rPr>
          <w:rFonts w:ascii="仿宋" w:hAnsi="仿宋" w:eastAsia="仿宋" w:cs="仿宋"/>
          <w:sz w:val="32"/>
          <w:szCs w:val="32"/>
          <w:u w:val="single"/>
        </w:rPr>
      </w:pPr>
      <w:r>
        <w:rPr>
          <w:rFonts w:hint="eastAsia" w:ascii="仿宋" w:hAnsi="仿宋" w:eastAsia="仿宋" w:cs="仿宋"/>
          <w:sz w:val="32"/>
          <w:szCs w:val="32"/>
        </w:rPr>
        <w:t>本局认为，</w:t>
      </w:r>
      <w:r>
        <w:rPr>
          <w:rFonts w:hint="eastAsia" w:ascii="仿宋" w:hAnsi="仿宋" w:eastAsia="仿宋" w:cs="仿宋"/>
          <w:sz w:val="32"/>
          <w:szCs w:val="32"/>
          <w:u w:val="single"/>
        </w:rPr>
        <w:t>当事人未履行对被委托生产单位生产行为进行监督的义务，违反了《中华人民共和国食品安全法实施条例》第二十一条的规定，依据《中华人民共和国食品安全法实施条例》第二十一条“食品生产经营者对委托生产的食品的安全负责”的规定，需对委托生产的食品的安全负责。当事人生产经营标签不符合食品安全国家标准的“鑫东昌”优选羔羊肉片，违反了《中华人民共和国食品安全法》第六十七条第一款第九项规定，构成生产经营标签不符合食品安全标准的食品的行为。鉴于当事人能积极配合市场监督管理部门调查，如实陈述违法事实并主动提供证据材料的，具有《福建省市场监督管理局行政处罚裁量权的适用规则》第十一条第二项规定的从轻情节，应适用《福建省市场监督管理系统适用&lt;食品安全法&gt;行政处罚裁量基准》SP-4予以从轻处罚。</w:t>
      </w:r>
    </w:p>
    <w:p>
      <w:pPr>
        <w:spacing w:line="340" w:lineRule="exact"/>
        <w:ind w:firstLine="640" w:firstLineChars="200"/>
        <w:rPr>
          <w:rFonts w:ascii="仿宋_GB2312" w:hAnsi="宋体" w:eastAsia="仿宋_GB2312"/>
          <w:sz w:val="28"/>
          <w:u w:val="single"/>
        </w:rPr>
      </w:pPr>
      <w:r>
        <w:rPr>
          <w:rFonts w:hint="eastAsia" w:ascii="仿宋" w:hAnsi="仿宋" w:eastAsia="仿宋" w:cs="仿宋"/>
          <w:sz w:val="32"/>
          <w:szCs w:val="32"/>
        </w:rPr>
        <w:t>综上，当事人上述行为违反了</w:t>
      </w:r>
      <w:r>
        <w:rPr>
          <w:rFonts w:hint="eastAsia" w:ascii="仿宋" w:hAnsi="仿宋" w:eastAsia="仿宋" w:cs="仿宋"/>
          <w:sz w:val="32"/>
          <w:szCs w:val="32"/>
          <w:u w:val="single"/>
        </w:rPr>
        <w:t>《中华人民共和国食品安全法》第六十七条第一款第九项的规定，</w:t>
      </w:r>
      <w:r>
        <w:rPr>
          <w:rFonts w:hint="eastAsia" w:ascii="仿宋" w:hAnsi="仿宋" w:eastAsia="仿宋" w:cs="仿宋"/>
          <w:sz w:val="32"/>
          <w:szCs w:val="32"/>
        </w:rPr>
        <w:t xml:space="preserve"> 依据</w:t>
      </w:r>
      <w:r>
        <w:rPr>
          <w:rFonts w:hint="eastAsia" w:ascii="仿宋" w:hAnsi="仿宋" w:eastAsia="仿宋" w:cs="仿宋"/>
          <w:sz w:val="32"/>
          <w:szCs w:val="32"/>
          <w:u w:val="single"/>
        </w:rPr>
        <w:t>《中华人民共和国食品安全法》第一百二十五条第一款第二项的规定，</w:t>
      </w:r>
      <w:r>
        <w:rPr>
          <w:rFonts w:hint="eastAsia" w:ascii="仿宋" w:hAnsi="仿宋" w:eastAsia="仿宋" w:cs="仿宋"/>
          <w:sz w:val="32"/>
          <w:szCs w:val="32"/>
        </w:rPr>
        <w:t>本局作出处罚如下：</w:t>
      </w:r>
    </w:p>
    <w:p>
      <w:pPr>
        <w:spacing w:line="340" w:lineRule="exact"/>
        <w:ind w:firstLine="640" w:firstLineChars="200"/>
        <w:rPr>
          <w:rFonts w:ascii="仿宋" w:hAnsi="仿宋" w:eastAsia="仿宋" w:cs="仿宋"/>
          <w:sz w:val="32"/>
          <w:szCs w:val="32"/>
          <w:u w:val="single"/>
        </w:rPr>
      </w:pPr>
      <w:r>
        <w:rPr>
          <w:rFonts w:hint="eastAsia" w:ascii="仿宋" w:hAnsi="仿宋" w:eastAsia="仿宋" w:cs="仿宋"/>
          <w:sz w:val="32"/>
          <w:szCs w:val="32"/>
          <w:u w:val="single"/>
        </w:rPr>
        <w:t>1、处以罚款6000元；</w:t>
      </w:r>
    </w:p>
    <w:p>
      <w:pPr>
        <w:spacing w:line="340" w:lineRule="exact"/>
        <w:ind w:firstLine="640" w:firstLineChars="200"/>
        <w:rPr>
          <w:rFonts w:ascii="仿宋" w:hAnsi="仿宋" w:eastAsia="仿宋" w:cs="仿宋"/>
          <w:sz w:val="32"/>
          <w:szCs w:val="32"/>
          <w:u w:val="single"/>
        </w:rPr>
      </w:pPr>
      <w:r>
        <w:rPr>
          <w:rFonts w:hint="eastAsia" w:ascii="仿宋" w:hAnsi="仿宋" w:eastAsia="仿宋" w:cs="仿宋"/>
          <w:sz w:val="32"/>
          <w:szCs w:val="32"/>
          <w:u w:val="single"/>
        </w:rPr>
        <w:t>2、没收违法所得8068元。</w:t>
      </w:r>
    </w:p>
    <w:p>
      <w:pPr>
        <w:spacing w:line="340" w:lineRule="exact"/>
        <w:ind w:firstLine="640" w:firstLineChars="200"/>
        <w:rPr>
          <w:rFonts w:ascii="仿宋" w:hAnsi="仿宋" w:eastAsia="仿宋" w:cs="仿宋"/>
          <w:sz w:val="32"/>
          <w:szCs w:val="32"/>
          <w:u w:val="single"/>
        </w:rPr>
      </w:pPr>
      <w:r>
        <w:rPr>
          <w:rFonts w:hint="eastAsia" w:ascii="仿宋" w:hAnsi="仿宋" w:eastAsia="仿宋" w:cs="仿宋"/>
          <w:sz w:val="32"/>
          <w:szCs w:val="32"/>
          <w:u w:val="single"/>
        </w:rPr>
        <w:t>以上款项合计壹萬肆仟零陆拾捌元。当事人应当在接到本行政处罚决定书之日起十五日内，持福建省政府非税收入缴款通知书通过银行网点或电子支付系统缴款。当事人逾期不履行行政处罚决定的，本局将依据《中华人民共和国行政处罚法》第七十二条第一款的规定，采取下列措施：（一）到期不缴纳罚款的，每日按罚款数额的百分之三加处罚款，加处罚款的数额不超出罚款的数额；（二）根据法律规定，将查封、扣押的财物拍卖、依法处理或者冻结的存款、汇款划拨抵缴罚款；（三）根据法律规定，采取其他行政强制执行方式；（四）依照《中华人民共和国行政强制法》的规定申请人民法院强制执行。</w:t>
      </w:r>
    </w:p>
    <w:p>
      <w:pPr>
        <w:spacing w:line="340" w:lineRule="exact"/>
        <w:ind w:firstLine="640" w:firstLineChars="200"/>
        <w:rPr>
          <w:rFonts w:ascii="仿宋" w:hAnsi="仿宋" w:eastAsia="仿宋" w:cs="仿宋"/>
          <w:sz w:val="32"/>
          <w:szCs w:val="32"/>
          <w:u w:val="single"/>
        </w:rPr>
      </w:pPr>
      <w:r>
        <w:rPr>
          <w:rFonts w:hint="eastAsia" w:ascii="仿宋" w:hAnsi="仿宋" w:eastAsia="仿宋" w:cs="仿宋"/>
          <w:sz w:val="32"/>
          <w:szCs w:val="32"/>
          <w:u w:val="single"/>
        </w:rPr>
        <w:t>如不服本处罚决定，可在接到本处罚决定书之日起六十日内向晋江市人民政府申请行政复议，也可以在6个月内依法向洛江区人民法院提起行政诉讼。当事人对行政处罚决定不服而申请行政复议或者提起行政诉讼期间，行政处罚不停止执行，法律、法规、规章另有规定的，从其规定。</w:t>
      </w:r>
    </w:p>
    <w:p>
      <w:pPr>
        <w:spacing w:line="279" w:lineRule="auto"/>
        <w:rPr>
          <w:rFonts w:ascii="Microsoft JhengHei"/>
        </w:rPr>
      </w:pPr>
    </w:p>
    <w:p>
      <w:pPr>
        <w:tabs>
          <w:tab w:val="left" w:pos="5667"/>
        </w:tabs>
        <w:wordWrap w:val="0"/>
        <w:bidi/>
        <w:spacing w:line="560" w:lineRule="exact"/>
        <w:ind w:right="840" w:rightChars="400"/>
        <w:rPr>
          <w:rFonts w:ascii="仿宋" w:hAnsi="仿宋" w:eastAsia="仿宋" w:cs="仿宋"/>
          <w:sz w:val="32"/>
          <w:szCs w:val="32"/>
        </w:rPr>
      </w:pPr>
      <w:r>
        <w:rPr>
          <w:rFonts w:hint="eastAsia" w:ascii="仿宋" w:hAnsi="仿宋" w:eastAsia="仿宋" w:cs="仿宋"/>
          <w:sz w:val="32"/>
          <w:szCs w:val="32"/>
        </w:rPr>
        <w:t>晋江市市场监督管理局</w:t>
      </w:r>
    </w:p>
    <w:p>
      <w:pPr>
        <w:tabs>
          <w:tab w:val="left" w:pos="5667"/>
        </w:tabs>
        <w:bidi/>
        <w:spacing w:line="40" w:lineRule="exact"/>
        <w:ind w:firstLine="1650" w:firstLineChars="1500"/>
        <w:rPr>
          <w:rFonts w:ascii="仿宋" w:hAnsi="仿宋" w:eastAsia="仿宋" w:cs="仿宋"/>
          <w:sz w:val="32"/>
          <w:szCs w:val="32"/>
        </w:rPr>
      </w:pPr>
      <w:r>
        <w:rPr>
          <w:rFonts w:ascii="仿宋" w:hAnsi="仿宋" w:eastAsia="仿宋" w:cs="仿宋"/>
          <w:color w:val="FFFFFF" w:themeColor="background1"/>
          <w:sz w:val="11"/>
          <w:szCs w:val="11"/>
          <w14:textFill>
            <w14:solidFill>
              <w14:schemeClr w14:val="bg1"/>
            </w14:solidFill>
          </w14:textFill>
        </w:rPr>
        <w:t>（</w:t>
      </w:r>
      <w:r>
        <w:rPr>
          <w:rFonts w:hint="eastAsia" w:ascii="仿宋" w:hAnsi="仿宋" w:eastAsia="仿宋" w:cs="仿宋"/>
          <w:color w:val="FFFFFF" w:themeColor="background1"/>
          <w:sz w:val="11"/>
          <w:szCs w:val="11"/>
          <w14:textFill>
            <w14:solidFill>
              <w14:schemeClr w14:val="bg1"/>
            </w14:solidFill>
          </w14:textFill>
        </w:rPr>
        <w:t>sealdwy</w:t>
      </w:r>
      <w:r>
        <w:rPr>
          <w:rFonts w:ascii="仿宋" w:hAnsi="仿宋" w:eastAsia="仿宋" w:cs="仿宋"/>
          <w:color w:val="FFFFFF" w:themeColor="background1"/>
          <w:sz w:val="11"/>
          <w:szCs w:val="11"/>
          <w14:textFill>
            <w14:solidFill>
              <w14:schemeClr w14:val="bg1"/>
            </w14:solidFill>
          </w14:textFill>
        </w:rPr>
        <w:t>）</w:t>
      </w:r>
    </w:p>
    <w:p>
      <w:pPr>
        <w:wordWrap w:val="0"/>
        <w:bidi/>
        <w:spacing w:line="560" w:lineRule="exact"/>
        <w:ind w:right="840" w:rightChars="400"/>
        <w:rPr>
          <w:rFonts w:ascii="仿宋" w:hAnsi="仿宋" w:eastAsia="仿宋" w:cs="仿宋"/>
          <w:sz w:val="32"/>
          <w:szCs w:val="32"/>
        </w:rPr>
      </w:pPr>
      <w:r>
        <w:rPr>
          <w:rFonts w:hint="eastAsia" w:ascii="仿宋" w:hAnsi="仿宋" w:eastAsia="仿宋" w:cs="仿宋"/>
          <w:sz w:val="32"/>
          <w:szCs w:val="32"/>
        </w:rPr>
        <w:t>2024年10月17日</w:t>
      </w:r>
    </w:p>
    <w:p>
      <w:pPr>
        <w:spacing w:line="256" w:lineRule="auto"/>
        <w:rPr>
          <w:rFonts w:ascii="Microsoft JhengHei"/>
        </w:rPr>
      </w:pPr>
    </w:p>
    <w:p>
      <w:pPr>
        <w:spacing w:before="105" w:line="183" w:lineRule="auto"/>
        <w:ind w:firstLine="403"/>
        <w:jc w:val="center"/>
        <w:rPr>
          <w:rFonts w:ascii="黑体" w:hAnsi="黑体" w:eastAsia="黑体" w:cs="黑体"/>
          <w:color w:val="231F20"/>
          <w:sz w:val="32"/>
          <w:szCs w:val="32"/>
        </w:rPr>
      </w:pPr>
    </w:p>
    <w:p>
      <w:pPr>
        <w:spacing w:before="105" w:line="183" w:lineRule="auto"/>
        <w:ind w:firstLine="403"/>
        <w:jc w:val="center"/>
        <w:rPr>
          <w:rFonts w:ascii="黑体" w:hAnsi="黑体" w:eastAsia="黑体" w:cs="黑体"/>
          <w:color w:val="231F20"/>
          <w:sz w:val="32"/>
          <w:szCs w:val="32"/>
        </w:rPr>
      </w:pPr>
    </w:p>
    <w:p>
      <w:pPr>
        <w:spacing w:before="105" w:line="183" w:lineRule="auto"/>
        <w:ind w:firstLine="403"/>
        <w:jc w:val="center"/>
        <w:rPr>
          <w:rFonts w:ascii="仿宋" w:hAnsi="仿宋" w:eastAsia="仿宋" w:cs="仿宋"/>
          <w:b/>
          <w:bCs/>
          <w:sz w:val="28"/>
          <w:szCs w:val="28"/>
        </w:rPr>
      </w:pPr>
      <w:r>
        <w:rPr>
          <w:rFonts w:hint="eastAsia" w:ascii="仿宋" w:hAnsi="仿宋" w:eastAsia="仿宋" w:cs="仿宋"/>
          <w:b/>
          <w:bCs/>
          <w:sz w:val="28"/>
          <w:szCs w:val="28"/>
        </w:rPr>
        <w:t>（市场监督管理部门将依法向社会公开行政处罚决定信息）</w:t>
      </w:r>
    </w:p>
    <w:p>
      <w:pPr>
        <w:spacing w:line="261" w:lineRule="auto"/>
        <w:rPr>
          <w:rFonts w:ascii="Microsoft JhengHei"/>
        </w:rPr>
      </w:pPr>
    </w:p>
    <w:p>
      <w:pPr>
        <w:spacing w:line="261" w:lineRule="auto"/>
        <w:rPr>
          <w:rFonts w:ascii="Microsoft JhengHei"/>
        </w:rPr>
      </w:pPr>
    </w:p>
    <w:p>
      <w:pPr>
        <w:spacing w:line="26" w:lineRule="exact"/>
        <w:textAlignment w:val="center"/>
      </w:pPr>
      <w:r>
        <w:drawing>
          <wp:inline distT="0" distB="0" distL="0" distR="0">
            <wp:extent cx="5550535" cy="15875"/>
            <wp:effectExtent l="0" t="0" r="0" b="0"/>
            <wp:docPr id="229" name="IM 229"/>
            <wp:cNvGraphicFramePr/>
            <a:graphic xmlns:a="http://schemas.openxmlformats.org/drawingml/2006/main">
              <a:graphicData uri="http://schemas.openxmlformats.org/drawingml/2006/picture">
                <pic:pic xmlns:pic="http://schemas.openxmlformats.org/drawingml/2006/picture">
                  <pic:nvPicPr>
                    <pic:cNvPr id="229" name="IM 229"/>
                    <pic:cNvPicPr/>
                  </pic:nvPicPr>
                  <pic:blipFill>
                    <a:blip r:embed="rId6"/>
                    <a:stretch>
                      <a:fillRect/>
                    </a:stretch>
                  </pic:blipFill>
                  <pic:spPr>
                    <a:xfrm>
                      <a:off x="0" y="0"/>
                      <a:ext cx="5550535" cy="16509"/>
                    </a:xfrm>
                    <a:prstGeom prst="rect">
                      <a:avLst/>
                    </a:prstGeom>
                  </pic:spPr>
                </pic:pic>
              </a:graphicData>
            </a:graphic>
          </wp:inline>
        </w:drawing>
      </w:r>
    </w:p>
    <w:p>
      <w:pPr>
        <w:spacing w:before="106" w:line="183" w:lineRule="auto"/>
        <w:ind w:firstLine="231"/>
      </w:pPr>
      <w:r>
        <w:rPr>
          <w:rFonts w:ascii="仿宋" w:hAnsi="仿宋" w:eastAsia="仿宋" w:cs="仿宋"/>
          <w:sz w:val="32"/>
          <w:szCs w:val="32"/>
        </w:rPr>
        <w:t>本文书一式</w:t>
      </w:r>
      <w:r>
        <w:rPr>
          <w:rFonts w:hint="eastAsia" w:ascii="仿宋" w:hAnsi="仿宋" w:eastAsia="仿宋" w:cs="仿宋"/>
          <w:sz w:val="32"/>
          <w:szCs w:val="32"/>
        </w:rPr>
        <w:t>二</w:t>
      </w:r>
      <w:r>
        <w:rPr>
          <w:rFonts w:ascii="仿宋" w:hAnsi="仿宋" w:eastAsia="仿宋" w:cs="仿宋"/>
          <w:sz w:val="32"/>
          <w:szCs w:val="32"/>
        </w:rPr>
        <w:t>份，</w:t>
      </w:r>
      <w:r>
        <w:rPr>
          <w:rFonts w:hint="eastAsia" w:ascii="仿宋" w:hAnsi="仿宋" w:eastAsia="仿宋" w:cs="仿宋"/>
          <w:sz w:val="32"/>
          <w:szCs w:val="32"/>
        </w:rPr>
        <w:t>一</w:t>
      </w:r>
      <w:r>
        <w:rPr>
          <w:rFonts w:ascii="仿宋" w:hAnsi="仿宋" w:eastAsia="仿宋" w:cs="仿宋"/>
          <w:sz w:val="32"/>
          <w:szCs w:val="32"/>
        </w:rPr>
        <w:t>份送达，</w:t>
      </w:r>
      <w:r>
        <w:rPr>
          <w:rFonts w:hint="eastAsia" w:ascii="仿宋" w:hAnsi="仿宋" w:eastAsia="仿宋" w:cs="仿宋"/>
          <w:sz w:val="32"/>
          <w:szCs w:val="32"/>
        </w:rPr>
        <w:t>一</w:t>
      </w:r>
      <w:r>
        <w:rPr>
          <w:rFonts w:ascii="仿宋" w:hAnsi="仿宋" w:eastAsia="仿宋" w:cs="仿宋"/>
          <w:sz w:val="32"/>
          <w:szCs w:val="32"/>
        </w:rPr>
        <w:t>份归档</w:t>
      </w:r>
      <w:r>
        <w:rPr>
          <w:rFonts w:hint="eastAsia" w:ascii="仿宋" w:hAnsi="仿宋" w:eastAsia="仿宋" w:cs="仿宋"/>
          <w:sz w:val="32"/>
          <w:szCs w:val="32"/>
        </w:rPr>
        <w:t>。</w:t>
      </w:r>
    </w:p>
    <w:p/>
    <w:sectPr>
      <w:headerReference r:id="rId3" w:type="default"/>
      <w:footerReference r:id="rId4"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JhengHei">
    <w:panose1 w:val="020B0604030504040204"/>
    <w:charset w:val="88"/>
    <w:family w:val="swiss"/>
    <w:pitch w:val="default"/>
    <w:sig w:usb0="00000087" w:usb1="28AF4000" w:usb2="00000016" w:usb3="00000000" w:csb0="00100009" w:csb1="00000000"/>
  </w:font>
  <w:font w:name="方正小标宋简体">
    <w:altName w:val="Arial Unicode MS"/>
    <w:panose1 w:val="03000509000000000000"/>
    <w:charset w:val="86"/>
    <w:family w:val="script"/>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96" w:lineRule="exact"/>
      <w:rPr>
        <w:rFonts w:ascii="宋体" w:hAnsi="宋体" w:eastAsia="宋体" w:cs="宋体"/>
        <w:sz w:val="28"/>
        <w:szCs w:val="28"/>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Microsoft JhengHei"/>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32D0F8B"/>
    <w:rsid w:val="032D0F8B"/>
    <w:rsid w:val="30DA4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0"/>
    <w:pPr>
      <w:spacing w:line="199" w:lineRule="auto"/>
      <w:jc w:val="center"/>
      <w:outlineLvl w:val="0"/>
    </w:pPr>
    <w:rPr>
      <w:rFonts w:ascii="Microsoft JhengHei" w:hAnsi="Microsoft JhengHei" w:eastAsia="Microsoft JhengHei" w:cs="Microsoft JhengHei"/>
      <w:spacing w:val="-2"/>
      <w:sz w:val="44"/>
      <w:szCs w:val="44"/>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2024-11-29T07:39:00Z</dcterms:created>
  <dc:creator>qzjj-xb01</dc:creator>
  <cp:lastModifiedBy>施婉弘</cp:lastModifiedBy>
  <dcterms:modified xsi:type="dcterms:W3CDTF">2024-12-04T08:10:33Z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ICV">
    <vt:lpwstr>582F42E315034C829702446E32D5028D</vt:lpwstr>
  </property>
</Properties>
</file>